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ECAF7">
      <w:pPr>
        <w:rPr>
          <w:b/>
          <w:bCs/>
          <w:sz w:val="32"/>
          <w:szCs w:val="36"/>
        </w:rPr>
      </w:pPr>
    </w:p>
    <w:p w14:paraId="3A3FB5B4">
      <w:pPr>
        <w:jc w:val="center"/>
        <w:rPr>
          <w:rFonts w:hint="eastAsia" w:ascii="黑体-简" w:hAnsi="黑体-简" w:eastAsia="黑体-简" w:cs="黑体-简"/>
          <w:b/>
          <w:bCs/>
          <w:sz w:val="24"/>
          <w:szCs w:val="24"/>
        </w:rPr>
      </w:pPr>
    </w:p>
    <w:p w14:paraId="152FF789">
      <w:pPr>
        <w:rPr>
          <w:rFonts w:hint="eastAsia" w:ascii="黑体-简" w:hAnsi="黑体-简" w:eastAsia="黑体-简" w:cs="黑体-简"/>
          <w:b/>
          <w:bCs/>
          <w:sz w:val="24"/>
          <w:szCs w:val="24"/>
        </w:rPr>
      </w:pPr>
    </w:p>
    <w:p w14:paraId="7F03E8DC">
      <w:pPr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  <w:t>华南农业大学继续教育综合管理平台</w:t>
      </w:r>
      <w:r>
        <w:rPr>
          <w:rFonts w:ascii="黑体-简" w:hAnsi="黑体-简" w:eastAsia="黑体-简" w:cs="黑体-简"/>
          <w:b/>
          <w:bCs/>
          <w:sz w:val="36"/>
          <w:szCs w:val="36"/>
        </w:rPr>
        <w:t xml:space="preserve">                                                                                </w:t>
      </w:r>
    </w:p>
    <w:p w14:paraId="1CF810BC">
      <w:pPr>
        <w:jc w:val="center"/>
        <w:rPr>
          <w:rFonts w:hint="eastAsia" w:ascii="黑体-简" w:hAnsi="黑体-简" w:eastAsia="黑体-简" w:cs="黑体-简"/>
          <w:b/>
          <w:bCs/>
          <w:sz w:val="24"/>
          <w:szCs w:val="24"/>
        </w:rPr>
      </w:pPr>
    </w:p>
    <w:p w14:paraId="3B7E415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学生</w:t>
      </w:r>
      <w:r>
        <w:rPr>
          <w:b/>
          <w:bCs/>
          <w:sz w:val="36"/>
          <w:szCs w:val="36"/>
        </w:rPr>
        <w:t>版）</w:t>
      </w:r>
    </w:p>
    <w:p w14:paraId="20C58FF2">
      <w:pPr>
        <w:rPr>
          <w:rFonts w:hint="eastAsia"/>
          <w:b/>
          <w:bCs/>
          <w:sz w:val="36"/>
          <w:szCs w:val="36"/>
        </w:rPr>
      </w:pPr>
    </w:p>
    <w:p w14:paraId="23A05B86">
      <w:pPr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  <w:r>
        <w:rPr>
          <w:rFonts w:ascii="黑体-简" w:hAnsi="黑体-简" w:eastAsia="黑体-简" w:cs="黑体-简"/>
          <w:b/>
          <w:bCs/>
          <w:sz w:val="36"/>
          <w:szCs w:val="36"/>
        </w:rPr>
        <w:t>用</w:t>
      </w:r>
    </w:p>
    <w:p w14:paraId="091114E4">
      <w:pPr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</w:p>
    <w:p w14:paraId="72C2471C">
      <w:pPr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  <w:r>
        <w:rPr>
          <w:rFonts w:ascii="黑体-简" w:hAnsi="黑体-简" w:eastAsia="黑体-简" w:cs="黑体-简"/>
          <w:b/>
          <w:bCs/>
          <w:sz w:val="36"/>
          <w:szCs w:val="36"/>
        </w:rPr>
        <w:t>户</w:t>
      </w:r>
    </w:p>
    <w:p w14:paraId="3248F561">
      <w:pPr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</w:p>
    <w:p w14:paraId="6F02A68D">
      <w:pPr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手</w:t>
      </w:r>
    </w:p>
    <w:p w14:paraId="7B7964F4">
      <w:pPr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</w:p>
    <w:p w14:paraId="24EFCA1B">
      <w:pPr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册</w:t>
      </w:r>
    </w:p>
    <w:p w14:paraId="7CF50F2B">
      <w:pPr>
        <w:rPr>
          <w:b/>
          <w:bCs/>
          <w:sz w:val="24"/>
          <w:szCs w:val="24"/>
        </w:rPr>
      </w:pPr>
    </w:p>
    <w:p w14:paraId="4F2EA895">
      <w:pPr>
        <w:rPr>
          <w:b/>
          <w:bCs/>
          <w:sz w:val="24"/>
          <w:szCs w:val="24"/>
        </w:rPr>
      </w:pPr>
    </w:p>
    <w:p w14:paraId="66A247AA">
      <w:pPr>
        <w:rPr>
          <w:b/>
          <w:bCs/>
          <w:sz w:val="24"/>
          <w:szCs w:val="24"/>
        </w:rPr>
      </w:pPr>
    </w:p>
    <w:p w14:paraId="5C3B357B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华南农业大学继续教育学院</w:t>
      </w:r>
    </w:p>
    <w:p w14:paraId="191B0F1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</w:t>
      </w:r>
      <w:r>
        <w:rPr>
          <w:rFonts w:hint="eastAsia"/>
          <w:b/>
          <w:bCs/>
          <w:sz w:val="36"/>
          <w:szCs w:val="36"/>
          <w:lang w:val="en-US" w:eastAsia="zh-CN"/>
        </w:rPr>
        <w:t>25</w:t>
      </w:r>
      <w:r>
        <w:rPr>
          <w:b/>
          <w:bCs/>
          <w:sz w:val="36"/>
          <w:szCs w:val="36"/>
        </w:rPr>
        <w:t>年</w:t>
      </w:r>
      <w:r>
        <w:rPr>
          <w:rFonts w:hint="eastAsia"/>
          <w:b/>
          <w:bCs/>
          <w:sz w:val="36"/>
          <w:szCs w:val="36"/>
          <w:lang w:val="en-US" w:eastAsia="zh-CN"/>
        </w:rPr>
        <w:t>1</w:t>
      </w:r>
      <w:r>
        <w:rPr>
          <w:b/>
          <w:bCs/>
          <w:sz w:val="36"/>
          <w:szCs w:val="36"/>
        </w:rPr>
        <w:t>月</w:t>
      </w:r>
    </w:p>
    <w:p w14:paraId="3BE438DB">
      <w:pPr>
        <w:jc w:val="center"/>
        <w:rPr>
          <w:b/>
          <w:bCs/>
          <w:sz w:val="36"/>
          <w:szCs w:val="36"/>
        </w:rPr>
      </w:pPr>
    </w:p>
    <w:p w14:paraId="685802F9">
      <w:pPr>
        <w:jc w:val="center"/>
        <w:rPr>
          <w:b/>
          <w:bCs/>
          <w:sz w:val="36"/>
          <w:szCs w:val="36"/>
        </w:rPr>
      </w:pPr>
    </w:p>
    <w:p w14:paraId="74A01A3E">
      <w:pPr>
        <w:jc w:val="center"/>
        <w:rPr>
          <w:b/>
          <w:bCs/>
          <w:sz w:val="36"/>
          <w:szCs w:val="36"/>
        </w:rPr>
      </w:pPr>
    </w:p>
    <w:p w14:paraId="07C59786">
      <w:pPr>
        <w:spacing w:line="360" w:lineRule="auto"/>
        <w:jc w:val="both"/>
        <w:rPr>
          <w:b/>
          <w:bCs/>
          <w:sz w:val="36"/>
          <w:szCs w:val="36"/>
        </w:rPr>
      </w:pPr>
    </w:p>
    <w:sdt>
      <w:sdtPr>
        <w:rPr>
          <w:rFonts w:hint="eastAsia" w:ascii="黑体-简" w:hAnsi="黑体-简" w:eastAsia="黑体-简" w:cs="黑体-简"/>
          <w:sz w:val="32"/>
          <w:szCs w:val="32"/>
          <w:lang w:val="zh-CN"/>
        </w:rPr>
        <w:id w:val="2"/>
      </w:sdtPr>
      <w:sdtEndP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1EE32510">
          <w:pPr>
            <w:pStyle w:val="19"/>
            <w:spacing w:line="360" w:lineRule="auto"/>
            <w:jc w:val="center"/>
            <w:rPr>
              <w:rFonts w:hint="eastAsia" w:ascii="黑体-简" w:hAnsi="黑体-简" w:eastAsia="黑体-简" w:cs="黑体-简"/>
              <w:b/>
              <w:bCs/>
              <w:color w:val="auto"/>
              <w:sz w:val="32"/>
              <w:szCs w:val="32"/>
            </w:rPr>
          </w:pPr>
          <w:r>
            <w:rPr>
              <w:rFonts w:hint="eastAsia" w:ascii="黑体-简" w:hAnsi="黑体-简" w:eastAsia="黑体-简" w:cs="黑体-简"/>
              <w:b/>
              <w:bCs/>
              <w:color w:val="auto"/>
              <w:sz w:val="32"/>
              <w:szCs w:val="32"/>
              <w:lang w:val="zh-CN"/>
            </w:rPr>
            <w:t>目</w:t>
          </w:r>
          <w:r>
            <w:rPr>
              <w:rFonts w:hint="default" w:ascii="黑体-简" w:hAnsi="黑体-简" w:eastAsia="黑体-简" w:cs="黑体-简"/>
              <w:b/>
              <w:bCs/>
              <w:color w:val="auto"/>
              <w:sz w:val="32"/>
              <w:szCs w:val="32"/>
            </w:rPr>
            <w:t xml:space="preserve">  </w:t>
          </w:r>
          <w:bookmarkStart w:id="25" w:name="_GoBack"/>
          <w:bookmarkEnd w:id="25"/>
          <w:r>
            <w:rPr>
              <w:rFonts w:hint="default" w:ascii="黑体-简" w:hAnsi="黑体-简" w:eastAsia="黑体-简" w:cs="黑体-简"/>
              <w:b/>
              <w:bCs/>
              <w:color w:val="auto"/>
              <w:sz w:val="32"/>
              <w:szCs w:val="32"/>
            </w:rPr>
            <w:t xml:space="preserve">  </w:t>
          </w:r>
          <w:r>
            <w:rPr>
              <w:rFonts w:hint="eastAsia" w:ascii="黑体-简" w:hAnsi="黑体-简" w:eastAsia="黑体-简" w:cs="黑体-简"/>
              <w:b/>
              <w:bCs/>
              <w:color w:val="auto"/>
              <w:sz w:val="32"/>
              <w:szCs w:val="32"/>
              <w:lang w:val="zh-CN"/>
            </w:rPr>
            <w:t>录</w:t>
          </w:r>
        </w:p>
        <w:p w14:paraId="223CA3B5">
          <w:pPr>
            <w:pStyle w:val="8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sz w:val="24"/>
              <w:szCs w:val="24"/>
            </w:rPr>
            <w:fldChar w:fldCharType="begin"/>
          </w:r>
          <w:r>
            <w:rPr>
              <w:rFonts w:hint="eastAsia" w:ascii="宋体-简" w:hAnsi="宋体-简" w:eastAsia="宋体-简" w:cs="宋体-简"/>
              <w:sz w:val="24"/>
              <w:szCs w:val="24"/>
            </w:rPr>
            <w:instrText xml:space="preserve"> TOC \o "1-3" \h \z \u </w:instrText>
          </w:r>
          <w:r>
            <w:rPr>
              <w:rFonts w:hint="eastAsia" w:ascii="宋体-简" w:hAnsi="宋体-简" w:eastAsia="宋体-简" w:cs="宋体-简"/>
              <w:sz w:val="24"/>
              <w:szCs w:val="24"/>
            </w:rPr>
            <w:fldChar w:fldCharType="separate"/>
          </w:r>
          <w:r>
            <w:rPr>
              <w:rFonts w:hint="eastAsia" w:ascii="宋体-简" w:hAnsi="宋体-简" w:eastAsia="宋体-简" w:cs="宋体-简"/>
              <w:szCs w:val="24"/>
            </w:rPr>
            <w:fldChar w:fldCharType="begin"/>
          </w:r>
          <w:r>
            <w:rPr>
              <w:rFonts w:hint="eastAsia" w:ascii="宋体-简" w:hAnsi="宋体-简" w:eastAsia="宋体-简" w:cs="宋体-简"/>
              <w:szCs w:val="24"/>
            </w:rPr>
            <w:instrText xml:space="preserve"> HYPERLINK \l _Toc2071204279 </w:instrText>
          </w:r>
          <w:r>
            <w:rPr>
              <w:rFonts w:hint="eastAsia" w:ascii="宋体-简" w:hAnsi="宋体-简" w:eastAsia="宋体-简" w:cs="宋体-简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</w:rPr>
            <w:t>一、</w:t>
          </w:r>
          <w:r>
            <w:rPr>
              <w:rFonts w:hint="eastAsia" w:ascii="宋体" w:hAnsi="宋体" w:eastAsia="宋体" w:cs="宋体"/>
              <w:szCs w:val="28"/>
              <w:lang w:val="en-US" w:eastAsia="zh-CN"/>
            </w:rPr>
            <w:t>PC端登录</w:t>
          </w:r>
          <w:r>
            <w:tab/>
          </w:r>
          <w:r>
            <w:fldChar w:fldCharType="begin"/>
          </w:r>
          <w:r>
            <w:instrText xml:space="preserve"> PAGEREF _Toc2071204279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szCs w:val="24"/>
            </w:rPr>
            <w:fldChar w:fldCharType="end"/>
          </w:r>
        </w:p>
        <w:p w14:paraId="05F8318A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_Toc20399283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1、</w:t>
          </w:r>
          <w:r>
            <w:rPr>
              <w:rFonts w:hint="eastAsia" w:ascii="宋体" w:hAnsi="宋体" w:eastAsia="宋体" w:cs="宋体"/>
              <w:szCs w:val="24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_Toc20399283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3CABDB92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_Toc1400849508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</w:rPr>
            <w:t>2.课程学习</w:t>
          </w:r>
          <w:r>
            <w:tab/>
          </w:r>
          <w:r>
            <w:fldChar w:fldCharType="begin"/>
          </w:r>
          <w:r>
            <w:instrText xml:space="preserve"> PAGEREF _Toc1400849508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131C2182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_Toc1214458895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</w:rPr>
            <w:t>3.作业</w:t>
          </w:r>
          <w:r>
            <w:tab/>
          </w:r>
          <w:r>
            <w:fldChar w:fldCharType="begin"/>
          </w:r>
          <w:r>
            <w:instrText xml:space="preserve"> PAGEREF _Toc1214458895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63364206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_Toc1726067177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</w:rPr>
            <w:t>4.考试</w:t>
          </w:r>
          <w:r>
            <w:tab/>
          </w:r>
          <w:r>
            <w:fldChar w:fldCharType="begin"/>
          </w:r>
          <w:r>
            <w:instrText xml:space="preserve"> PAGEREF _Toc1726067177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4FDEB067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_Toc1801940163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 xml:space="preserve">5. </w:t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直播</w:t>
          </w:r>
          <w:r>
            <w:tab/>
          </w:r>
          <w:r>
            <w:fldChar w:fldCharType="begin"/>
          </w:r>
          <w:r>
            <w:instrText xml:space="preserve"> PAGEREF _Toc1801940163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44758FDD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_Toc1393929547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/>
              <w:lang w:eastAsia="zh-CN"/>
            </w:rPr>
            <w:t xml:space="preserve">6. </w:t>
          </w:r>
          <w:r>
            <w:rPr>
              <w:rFonts w:hint="eastAsia"/>
              <w:lang w:val="en-US" w:eastAsia="zh-CN"/>
            </w:rPr>
            <w:t>下载学习通客户端</w:t>
          </w:r>
          <w:r>
            <w:tab/>
          </w:r>
          <w:r>
            <w:fldChar w:fldCharType="begin"/>
          </w:r>
          <w:r>
            <w:instrText xml:space="preserve"> PAGEREF _Toc1393929547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692A847B">
          <w:pPr>
            <w:pStyle w:val="8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_Toc874791306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</w:rPr>
            <w:t>二、移动端</w:t>
          </w:r>
          <w:r>
            <w:tab/>
          </w:r>
          <w:r>
            <w:fldChar w:fldCharType="begin"/>
          </w:r>
          <w:r>
            <w:instrText xml:space="preserve"> PAGEREF _Toc874791306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599A9FE6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_Toc944432580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</w:rPr>
            <w:t>1.学习通APP下载</w:t>
          </w:r>
          <w:r>
            <w:tab/>
          </w:r>
          <w:r>
            <w:fldChar w:fldCharType="begin"/>
          </w:r>
          <w:r>
            <w:instrText xml:space="preserve"> PAGEREF _Toc944432580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2B54D45D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_Toc1026737083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</w:rPr>
            <w:t xml:space="preserve">2. </w:t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学习通</w:t>
          </w:r>
          <w:r>
            <w:rPr>
              <w:rFonts w:hint="eastAsia" w:ascii="宋体" w:hAnsi="宋体" w:eastAsia="宋体" w:cs="宋体"/>
              <w:szCs w:val="24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_Toc1026737083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4FE1D394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_Toc1339050336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2.1 学生未注册过学习通账号</w:t>
          </w:r>
          <w:r>
            <w:tab/>
          </w:r>
          <w:r>
            <w:fldChar w:fldCharType="begin"/>
          </w:r>
          <w:r>
            <w:instrText xml:space="preserve"> PAGEREF _Toc1339050336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6B009471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_Toc1937860239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</w:rPr>
            <w:t>3. 课程学习</w:t>
          </w:r>
          <w:r>
            <w:tab/>
          </w:r>
          <w:r>
            <w:fldChar w:fldCharType="begin"/>
          </w:r>
          <w:r>
            <w:instrText xml:space="preserve"> PAGEREF _Toc1937860239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55E5750E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_Toc880046471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Cs w:val="24"/>
              <w:lang w:val="en-US" w:eastAsia="zh-CN"/>
            </w:rPr>
            <w:t>4.考试</w:t>
          </w:r>
          <w:r>
            <w:tab/>
          </w:r>
          <w:r>
            <w:fldChar w:fldCharType="begin"/>
          </w:r>
          <w:r>
            <w:instrText xml:space="preserve"> PAGEREF _Toc880046471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42BE2927"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instrText xml:space="preserve"> HYPERLINK \l _Toc1221161208 </w:instrText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5.直播</w:t>
          </w:r>
          <w:r>
            <w:tab/>
          </w:r>
          <w:r>
            <w:fldChar w:fldCharType="begin"/>
          </w:r>
          <w:r>
            <w:instrText xml:space="preserve"> PAGEREF _Toc1221161208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  <w:p w14:paraId="6AB51572">
          <w:pPr>
            <w:spacing w:line="360" w:lineRule="auto"/>
          </w:pPr>
          <w:r>
            <w:rPr>
              <w:rFonts w:hint="eastAsia" w:ascii="宋体-简" w:hAnsi="宋体-简" w:eastAsia="宋体-简" w:cs="宋体-简"/>
              <w:bCs/>
              <w:szCs w:val="24"/>
              <w:lang w:val="zh-CN"/>
            </w:rPr>
            <w:fldChar w:fldCharType="end"/>
          </w:r>
        </w:p>
      </w:sdtContent>
    </w:sdt>
    <w:p w14:paraId="06A4C57E">
      <w:pPr>
        <w:rPr>
          <w:b/>
          <w:bCs/>
          <w:sz w:val="32"/>
          <w:szCs w:val="36"/>
        </w:rPr>
      </w:pPr>
    </w:p>
    <w:p w14:paraId="5A94411A">
      <w:pPr>
        <w:rPr>
          <w:b/>
          <w:bCs/>
          <w:sz w:val="32"/>
          <w:szCs w:val="36"/>
        </w:rPr>
      </w:pPr>
    </w:p>
    <w:p w14:paraId="31C60831">
      <w:pPr>
        <w:rPr>
          <w:b/>
          <w:bCs/>
          <w:sz w:val="32"/>
          <w:szCs w:val="36"/>
        </w:rPr>
      </w:pPr>
    </w:p>
    <w:p w14:paraId="45B3CBD5">
      <w:pPr>
        <w:rPr>
          <w:b/>
          <w:bCs/>
          <w:sz w:val="32"/>
          <w:szCs w:val="36"/>
        </w:rPr>
      </w:pPr>
    </w:p>
    <w:p w14:paraId="3D209A89">
      <w:pPr>
        <w:rPr>
          <w:b/>
          <w:bCs/>
          <w:sz w:val="32"/>
          <w:szCs w:val="36"/>
        </w:rPr>
      </w:pPr>
    </w:p>
    <w:p w14:paraId="714D1667">
      <w:pPr>
        <w:rPr>
          <w:b/>
          <w:bCs/>
          <w:sz w:val="32"/>
          <w:szCs w:val="36"/>
        </w:rPr>
      </w:pPr>
    </w:p>
    <w:p w14:paraId="4179B2A4">
      <w:pPr>
        <w:rPr>
          <w:b/>
          <w:bCs/>
          <w:sz w:val="32"/>
          <w:szCs w:val="36"/>
        </w:rPr>
      </w:pPr>
    </w:p>
    <w:p w14:paraId="321892DB">
      <w:pPr>
        <w:rPr>
          <w:b/>
          <w:bCs/>
          <w:sz w:val="32"/>
          <w:szCs w:val="36"/>
        </w:rPr>
      </w:pPr>
    </w:p>
    <w:p w14:paraId="02BEED93">
      <w:pPr>
        <w:rPr>
          <w:b/>
          <w:bCs/>
          <w:sz w:val="32"/>
          <w:szCs w:val="36"/>
        </w:rPr>
      </w:pPr>
    </w:p>
    <w:p w14:paraId="5EA33D33">
      <w:pPr>
        <w:rPr>
          <w:b/>
          <w:bCs/>
          <w:sz w:val="32"/>
          <w:szCs w:val="36"/>
        </w:rPr>
      </w:pPr>
    </w:p>
    <w:p w14:paraId="1C62D32B">
      <w:pPr>
        <w:rPr>
          <w:b/>
          <w:bCs/>
          <w:sz w:val="32"/>
          <w:szCs w:val="36"/>
        </w:rPr>
      </w:pPr>
    </w:p>
    <w:p w14:paraId="05B39182">
      <w:pPr>
        <w:rPr>
          <w:b/>
          <w:bCs/>
          <w:sz w:val="32"/>
          <w:szCs w:val="36"/>
        </w:rPr>
      </w:pPr>
    </w:p>
    <w:p w14:paraId="5C1B0321">
      <w:pPr>
        <w:rPr>
          <w:rFonts w:hint="eastAsia"/>
          <w:b/>
          <w:bCs/>
          <w:sz w:val="32"/>
          <w:szCs w:val="36"/>
        </w:rPr>
      </w:pPr>
    </w:p>
    <w:p w14:paraId="023CCE0E">
      <w:pPr>
        <w:pStyle w:val="2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Toc2071204279"/>
      <w:r>
        <w:rPr>
          <w:rFonts w:hint="eastAsia" w:ascii="宋体" w:hAnsi="宋体" w:eastAsia="宋体" w:cs="宋体"/>
          <w:sz w:val="28"/>
          <w:szCs w:val="28"/>
        </w:rPr>
        <w:t>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PC端登录</w:t>
      </w:r>
      <w:bookmarkEnd w:id="0"/>
    </w:p>
    <w:p w14:paraId="3ED0C8F7">
      <w:pPr>
        <w:pStyle w:val="3"/>
        <w:rPr>
          <w:rFonts w:hint="eastAsia" w:ascii="宋体" w:hAnsi="宋体" w:eastAsia="宋体" w:cs="宋体"/>
          <w:sz w:val="24"/>
          <w:szCs w:val="24"/>
        </w:rPr>
      </w:pPr>
      <w:bookmarkStart w:id="1" w:name="_Toc20399283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登录</w:t>
      </w:r>
      <w:bookmarkEnd w:id="1"/>
      <w:bookmarkStart w:id="2" w:name="_Hlk24397523"/>
    </w:p>
    <w:p w14:paraId="3CC06524">
      <w:pPr>
        <w:bidi w:val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平台名称：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华南农业大学继续教育综合管理平台</w:t>
      </w:r>
    </w:p>
    <w:p w14:paraId="0638949C">
      <w:p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登录网址：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 HYPERLINK "https://hnnydx.jxjy.chaoxing.com/" </w:instrText>
      </w:r>
      <w:r>
        <w:rPr>
          <w:rFonts w:hint="default"/>
          <w:sz w:val="24"/>
          <w:szCs w:val="24"/>
        </w:rPr>
        <w:fldChar w:fldCharType="separate"/>
      </w:r>
      <w:r>
        <w:rPr>
          <w:rStyle w:val="14"/>
          <w:rFonts w:hint="default"/>
          <w:sz w:val="24"/>
          <w:szCs w:val="24"/>
        </w:rPr>
        <w:t>https://hnnydx.jxjy.chaoxing.com/</w:t>
      </w:r>
      <w:r>
        <w:rPr>
          <w:rFonts w:hint="default"/>
          <w:sz w:val="24"/>
          <w:szCs w:val="24"/>
        </w:rPr>
        <w:fldChar w:fldCharType="end"/>
      </w:r>
    </w:p>
    <w:p w14:paraId="3559D1D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使用本系统最佳浏览器为火狐、谷歌chrome，IE9.0以上，360浏览器。</w:t>
      </w:r>
    </w:p>
    <w:p w14:paraId="03F77FF6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112A20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（1）点击首次登录按钮，进入验证界面</w:t>
      </w:r>
    </w:p>
    <w:bookmarkEnd w:id="2"/>
    <w:p w14:paraId="49EFCF72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4124325" cy="4143375"/>
            <wp:effectExtent l="0" t="0" r="15875" b="2222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C31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（2）验证手机号，进入下一步</w:t>
      </w:r>
    </w:p>
    <w:p w14:paraId="429E717B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428240" cy="2988310"/>
            <wp:effectExtent l="0" t="0" r="635" b="190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FC030"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入账号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信息【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学生学号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和【学生姓名】，然后点击【下一步】</w:t>
      </w:r>
    </w:p>
    <w:p w14:paraId="5E49C549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461895" cy="2232025"/>
            <wp:effectExtent l="0" t="0" r="10160" b="254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A2F82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（4）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更新密码后，重新登录，就会进入到学生自己的个人空间中</w:t>
      </w:r>
    </w:p>
    <w:p w14:paraId="2FDD354D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164715" cy="2268220"/>
            <wp:effectExtent l="0" t="0" r="5080" b="952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2955D">
      <w:pPr>
        <w:pStyle w:val="3"/>
        <w:rPr>
          <w:rFonts w:hint="eastAsia" w:ascii="宋体" w:hAnsi="宋体" w:eastAsia="宋体" w:cs="宋体"/>
          <w:sz w:val="24"/>
          <w:szCs w:val="24"/>
        </w:rPr>
      </w:pPr>
      <w:bookmarkStart w:id="3" w:name="_Toc1400849508"/>
      <w:r>
        <w:rPr>
          <w:rFonts w:hint="eastAsia" w:ascii="宋体" w:hAnsi="宋体" w:eastAsia="宋体" w:cs="宋体"/>
          <w:sz w:val="24"/>
          <w:szCs w:val="24"/>
        </w:rPr>
        <w:t>2.课程学习</w:t>
      </w:r>
      <w:bookmarkEnd w:id="3"/>
    </w:p>
    <w:p w14:paraId="26B9AF2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（1）进入之后，在左侧导航栏点击课程，可以看到自己所学的课程</w:t>
      </w:r>
    </w:p>
    <w:p w14:paraId="37459CDB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2880" cy="2734945"/>
            <wp:effectExtent l="0" t="0" r="5080" b="6985"/>
            <wp:docPr id="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B8243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t>点击课程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或“进入学习”</w:t>
      </w:r>
      <w:r>
        <w:rPr>
          <w:rFonts w:hint="eastAsia" w:ascii="宋体" w:hAnsi="宋体" w:eastAsia="宋体" w:cs="宋体"/>
          <w:sz w:val="24"/>
          <w:szCs w:val="24"/>
        </w:rPr>
        <w:t>，即可进入课程章节内容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阅读“在线学习诚信承诺书”</w:t>
      </w:r>
    </w:p>
    <w:p w14:paraId="38B25EA1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643880" cy="2950845"/>
            <wp:effectExtent l="0" t="0" r="1905" b="6985"/>
            <wp:docPr id="3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22493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3617558E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0154BCE6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61591754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715000" cy="2952115"/>
            <wp:effectExtent l="0" t="0" r="6350" b="5715"/>
            <wp:docPr id="3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FBA4B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0490B6D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点击章节标题，即可进行课程学习。其中进度点显示为橙色并带有数字提示，表示还有相应的任务点未完成，完成则显示为绿色。</w:t>
      </w:r>
    </w:p>
    <w:p w14:paraId="299332D4">
      <w:pPr>
        <w:jc w:val="center"/>
        <w:rPr>
          <w:rFonts w:hint="eastAsia" w:ascii="宋体" w:hAnsi="宋体" w:eastAsia="宋体" w:cs="宋体"/>
          <w:sz w:val="24"/>
          <w:szCs w:val="24"/>
        </w:rPr>
      </w:pPr>
      <w:bookmarkStart w:id="4" w:name="_Toc518573027"/>
      <w:bookmarkStart w:id="5" w:name="_Toc534476927"/>
      <w:bookmarkStart w:id="6" w:name="_Toc17361_WPSOffice_Level2"/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853430" cy="3023870"/>
            <wp:effectExtent l="0" t="0" r="8255" b="9525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2976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1BFC09F6">
      <w:pPr>
        <w:pStyle w:val="3"/>
        <w:rPr>
          <w:rFonts w:hint="eastAsia" w:ascii="宋体" w:hAnsi="宋体" w:eastAsia="宋体" w:cs="宋体"/>
          <w:sz w:val="24"/>
          <w:szCs w:val="24"/>
        </w:rPr>
      </w:pPr>
      <w:bookmarkStart w:id="7" w:name="_Toc1214458895"/>
      <w:r>
        <w:rPr>
          <w:rFonts w:hint="eastAsia" w:ascii="宋体" w:hAnsi="宋体" w:eastAsia="宋体" w:cs="宋体"/>
          <w:sz w:val="24"/>
          <w:szCs w:val="24"/>
        </w:rPr>
        <w:t>3.作业</w:t>
      </w:r>
      <w:bookmarkEnd w:id="4"/>
      <w:bookmarkEnd w:id="5"/>
      <w:bookmarkEnd w:id="6"/>
      <w:bookmarkEnd w:id="7"/>
    </w:p>
    <w:p w14:paraId="3C2A308D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在课程空间内，点击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左侧</w:t>
      </w:r>
      <w:r>
        <w:rPr>
          <w:rFonts w:hint="eastAsia" w:ascii="宋体" w:hAnsi="宋体" w:eastAsia="宋体" w:cs="宋体"/>
          <w:sz w:val="24"/>
          <w:szCs w:val="24"/>
        </w:rPr>
        <w:t>导航栏作业，进入作业页面后显示我的作业，点击作业即可做作业。</w:t>
      </w:r>
    </w:p>
    <w:p w14:paraId="4209CB81">
      <w:pPr>
        <w:pStyle w:val="21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643880" cy="2952115"/>
            <wp:effectExtent l="0" t="0" r="1905" b="5715"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75F2A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7693378F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11EB0389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1F426196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6CD896B6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45121A24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进入做作业的页面，根据老师布置的作业完成相关问题，作业完成后点击提交，等待老师批阅。</w:t>
      </w:r>
    </w:p>
    <w:p w14:paraId="06940451">
      <w:pPr>
        <w:pStyle w:val="21"/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704840" cy="2988310"/>
            <wp:effectExtent l="0" t="0" r="5715" b="1905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C57C7">
      <w:pPr>
        <w:pStyle w:val="3"/>
        <w:rPr>
          <w:rFonts w:hint="eastAsia" w:ascii="宋体" w:hAnsi="宋体" w:eastAsia="宋体" w:cs="宋体"/>
          <w:sz w:val="24"/>
          <w:szCs w:val="24"/>
        </w:rPr>
      </w:pPr>
      <w:bookmarkStart w:id="8" w:name="_Toc518573029"/>
      <w:bookmarkStart w:id="9" w:name="_Toc28293_WPSOffice_Level2"/>
      <w:bookmarkStart w:id="10" w:name="_Toc534476928"/>
      <w:bookmarkStart w:id="11" w:name="_Toc1726067177"/>
      <w:r>
        <w:rPr>
          <w:rFonts w:hint="eastAsia" w:ascii="宋体" w:hAnsi="宋体" w:eastAsia="宋体" w:cs="宋体"/>
          <w:sz w:val="24"/>
          <w:szCs w:val="24"/>
        </w:rPr>
        <w:t>4.考试</w:t>
      </w:r>
      <w:bookmarkEnd w:id="8"/>
      <w:bookmarkEnd w:id="9"/>
      <w:bookmarkEnd w:id="10"/>
      <w:bookmarkEnd w:id="11"/>
    </w:p>
    <w:p w14:paraId="740C0E2E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学生个人</w:t>
      </w:r>
      <w:r>
        <w:rPr>
          <w:rFonts w:hint="eastAsia" w:ascii="宋体" w:hAnsi="宋体" w:eastAsia="宋体" w:cs="宋体"/>
          <w:sz w:val="24"/>
          <w:szCs w:val="24"/>
        </w:rPr>
        <w:t>空间内，点击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左侧</w:t>
      </w:r>
      <w:r>
        <w:rPr>
          <w:rFonts w:hint="eastAsia" w:ascii="宋体" w:hAnsi="宋体" w:eastAsia="宋体" w:cs="宋体"/>
          <w:sz w:val="24"/>
          <w:szCs w:val="24"/>
        </w:rPr>
        <w:t>导航栏的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在线</w:t>
      </w:r>
      <w:r>
        <w:rPr>
          <w:rFonts w:hint="eastAsia" w:ascii="宋体" w:hAnsi="宋体" w:eastAsia="宋体" w:cs="宋体"/>
          <w:sz w:val="24"/>
          <w:szCs w:val="24"/>
        </w:rPr>
        <w:t>考试</w:t>
      </w:r>
    </w:p>
    <w:p w14:paraId="14502EEF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995035" cy="3049270"/>
            <wp:effectExtent l="0" t="0" r="24765" b="2413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C059A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就会进入考试列表页面，所有考试汇总在此，学生也可以根据筛选考试状态查看对应考试</w:t>
      </w:r>
    </w:p>
    <w:p w14:paraId="7777218A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919470" cy="3060065"/>
            <wp:effectExtent l="0" t="0" r="6985" b="5715"/>
            <wp:docPr id="4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947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C3D1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44D0091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894705" cy="3060065"/>
            <wp:effectExtent l="0" t="0" r="10160" b="5715"/>
            <wp:docPr id="4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470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B7806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589EF515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15AF0C8D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F3CAC88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480F534">
      <w:pPr>
        <w:pStyle w:val="10"/>
        <w:shd w:val="clear" w:color="auto" w:fill="FFFFFF"/>
        <w:spacing w:after="149" w:line="224" w:lineRule="atLeas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50AB2A56">
      <w:pPr>
        <w:pStyle w:val="10"/>
        <w:numPr>
          <w:ilvl w:val="0"/>
          <w:numId w:val="0"/>
        </w:numPr>
        <w:shd w:val="clear" w:color="auto" w:fill="FFFFFF"/>
        <w:spacing w:after="149" w:line="224" w:lineRule="atLeast"/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（3）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学生点击“开始考试”，阅读同意考试说明后，点击“进入考试”，就可以开始考试了</w:t>
      </w:r>
    </w:p>
    <w:p w14:paraId="5DD8E793">
      <w:pPr>
        <w:pStyle w:val="10"/>
        <w:numPr>
          <w:ilvl w:val="0"/>
          <w:numId w:val="0"/>
        </w:numPr>
        <w:shd w:val="clear" w:color="auto" w:fill="FFFFFF"/>
        <w:spacing w:after="149" w:line="224" w:lineRule="atLeast"/>
        <w:ind w:left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683250" cy="2952115"/>
            <wp:effectExtent l="0" t="0" r="5715" b="5715"/>
            <wp:docPr id="4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94042">
      <w:pPr>
        <w:pStyle w:val="10"/>
        <w:numPr>
          <w:ilvl w:val="0"/>
          <w:numId w:val="0"/>
        </w:numPr>
        <w:shd w:val="clear" w:color="auto" w:fill="FFFFFF"/>
        <w:spacing w:after="149" w:line="224" w:lineRule="atLeast"/>
        <w:ind w:leftChars="0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749CADB">
      <w:pPr>
        <w:pStyle w:val="10"/>
        <w:numPr>
          <w:ilvl w:val="0"/>
          <w:numId w:val="0"/>
        </w:numPr>
        <w:shd w:val="clear" w:color="auto" w:fill="FFFFFF"/>
        <w:spacing w:after="149" w:line="224" w:lineRule="atLeast"/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C8DBBD">
      <w:pPr>
        <w:pStyle w:val="10"/>
        <w:numPr>
          <w:ilvl w:val="0"/>
          <w:numId w:val="0"/>
        </w:numPr>
        <w:shd w:val="clear" w:color="auto" w:fill="FFFFFF"/>
        <w:spacing w:after="149" w:line="224" w:lineRule="atLeast"/>
        <w:ind w:left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720715" cy="2952115"/>
            <wp:effectExtent l="0" t="0" r="635" b="5715"/>
            <wp:docPr id="4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1447A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6725D266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C623E42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739F24E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3F38B89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23D3DF2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78C0BA2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0A2E4AF9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8CCF2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进入考试，界面如图所示，由老师设置考试时长以及考试题型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学生点击“下一题”就可以跳转至下一题目进行作答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7BD72B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732780" cy="2988310"/>
            <wp:effectExtent l="0" t="0" r="10160" b="1905"/>
            <wp:docPr id="4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40F47">
      <w:pPr>
        <w:rPr>
          <w:rFonts w:hint="eastAsia" w:ascii="宋体" w:hAnsi="宋体" w:eastAsia="宋体" w:cs="宋体"/>
          <w:sz w:val="24"/>
          <w:szCs w:val="24"/>
        </w:rPr>
      </w:pPr>
    </w:p>
    <w:p w14:paraId="07B65DA6">
      <w:pPr>
        <w:rPr>
          <w:rFonts w:hint="eastAsia" w:ascii="宋体" w:hAnsi="宋体" w:eastAsia="宋体" w:cs="宋体"/>
          <w:sz w:val="24"/>
          <w:szCs w:val="24"/>
        </w:rPr>
      </w:pPr>
    </w:p>
    <w:p w14:paraId="63086D67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（5）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所有题目都作答完毕之后，确认好后，点击“下一步”，进入整卷预览检查</w:t>
      </w:r>
    </w:p>
    <w:p w14:paraId="5509780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</w:rPr>
      </w:pPr>
    </w:p>
    <w:p w14:paraId="3E671B31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812790" cy="3023870"/>
            <wp:effectExtent l="0" t="0" r="5715" b="9525"/>
            <wp:docPr id="4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9FF22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</w:rPr>
      </w:pPr>
    </w:p>
    <w:p w14:paraId="354E8882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</w:rPr>
      </w:pPr>
    </w:p>
    <w:p w14:paraId="045130A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</w:rPr>
      </w:pPr>
    </w:p>
    <w:p w14:paraId="54D1475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</w:rPr>
      </w:pPr>
    </w:p>
    <w:p w14:paraId="5AD78D0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</w:rPr>
      </w:pPr>
    </w:p>
    <w:p w14:paraId="06CB998F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0F6D04F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（5）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确认好后，点击右上角“交卷”即考试完成。</w:t>
      </w:r>
    </w:p>
    <w:p w14:paraId="544DFFA3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535295" cy="2879725"/>
            <wp:effectExtent l="0" t="0" r="2540" b="2540"/>
            <wp:docPr id="4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57B6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2150195">
      <w:pPr>
        <w:bidi w:val="0"/>
        <w:rPr>
          <w:rFonts w:hint="eastAsia"/>
          <w:lang w:val="en-US" w:eastAsia="zh-CN"/>
        </w:rPr>
      </w:pPr>
    </w:p>
    <w:p w14:paraId="119540A9">
      <w:pPr>
        <w:bidi w:val="0"/>
        <w:rPr>
          <w:rFonts w:hint="eastAsia"/>
          <w:lang w:val="en-US" w:eastAsia="zh-CN"/>
        </w:rPr>
      </w:pPr>
    </w:p>
    <w:p w14:paraId="1F14566A">
      <w:pPr>
        <w:bidi w:val="0"/>
        <w:rPr>
          <w:rFonts w:hint="eastAsia"/>
          <w:lang w:val="en-US" w:eastAsia="zh-CN"/>
        </w:rPr>
      </w:pPr>
    </w:p>
    <w:p w14:paraId="507EC77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（6）交卷后，会提示学生交卷成功，学生可以回到考试列表查看考试状态，如果有需要批阅的题目，状态会显示为待批阅，没有的话就会是已完成的状态</w:t>
      </w:r>
    </w:p>
    <w:p w14:paraId="647634AD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547360" cy="2879725"/>
            <wp:effectExtent l="0" t="0" r="1270" b="2540"/>
            <wp:docPr id="4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EF452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43E55026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401310" cy="2844165"/>
            <wp:effectExtent l="0" t="0" r="6985" b="5715"/>
            <wp:docPr id="4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D54A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55D3B8C4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bookmarkStart w:id="12" w:name="_Toc1476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如果教师设置允许学生考试后查看自己的分数，学生在考试列表的对应考试的分数栏中能查看到分数</w:t>
      </w:r>
      <w:bookmarkEnd w:id="1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3FC27665">
      <w:p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2193D26"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2880" cy="2760980"/>
            <wp:effectExtent l="0" t="0" r="5080" b="2540"/>
            <wp:docPr id="4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2662F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574AB47F">
      <w:pPr>
        <w:pStyle w:val="3"/>
        <w:numPr>
          <w:ilvl w:val="0"/>
          <w:numId w:val="2"/>
        </w:numPr>
        <w:rPr>
          <w:rFonts w:hint="eastAsia"/>
          <w:lang w:val="en-US" w:eastAsia="zh-CN"/>
        </w:rPr>
      </w:pPr>
      <w:bookmarkStart w:id="13" w:name="_Toc1801940163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直播</w:t>
      </w:r>
      <w:bookmarkEnd w:id="13"/>
    </w:p>
    <w:p w14:paraId="56710CB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【直播课表】查看当前周次上直播的课程，点击后按提示进入课堂上课。</w:t>
      </w:r>
    </w:p>
    <w:p w14:paraId="3DE5CB6D">
      <w:r>
        <w:drawing>
          <wp:inline distT="0" distB="0" distL="114300" distR="114300">
            <wp:extent cx="5262880" cy="2851785"/>
            <wp:effectExtent l="0" t="0" r="20320" b="18415"/>
            <wp:docPr id="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625090"/>
            <wp:effectExtent l="0" t="0" r="15875" b="16510"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500630"/>
            <wp:effectExtent l="0" t="0" r="10795" b="13970"/>
            <wp:docPr id="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10CAA">
      <w:p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drawing>
          <wp:inline distT="0" distB="0" distL="114300" distR="114300">
            <wp:extent cx="5132070" cy="3124200"/>
            <wp:effectExtent l="0" t="0" r="24130" b="0"/>
            <wp:docPr id="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01D44">
      <w:pPr>
        <w:bidi w:val="0"/>
        <w:rPr>
          <w:rFonts w:hint="eastAsia"/>
          <w:lang w:val="en-US" w:eastAsia="zh-CN"/>
        </w:rPr>
      </w:pPr>
    </w:p>
    <w:p w14:paraId="3F9BF54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【总课表】查看所有课程的排课情况。</w:t>
      </w:r>
    </w:p>
    <w:p w14:paraId="050160D2">
      <w:p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2ACA817">
      <w:pPr>
        <w:jc w:val="both"/>
      </w:pPr>
      <w:r>
        <w:drawing>
          <wp:inline distT="0" distB="0" distL="114300" distR="114300">
            <wp:extent cx="5262880" cy="2435860"/>
            <wp:effectExtent l="0" t="0" r="20320" b="2540"/>
            <wp:docPr id="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43AF0">
      <w:pPr>
        <w:bidi w:val="0"/>
        <w:rPr>
          <w:rFonts w:hint="eastAsia"/>
          <w:lang w:val="en-US" w:eastAsia="zh-CN"/>
        </w:rPr>
      </w:pPr>
    </w:p>
    <w:p w14:paraId="2495A54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【直播回放】</w:t>
      </w:r>
    </w:p>
    <w:p w14:paraId="36436D35">
      <w:pPr>
        <w:rPr>
          <w:rFonts w:hint="eastAsia"/>
        </w:rPr>
      </w:pPr>
    </w:p>
    <w:p w14:paraId="43A3848C"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</w:rPr>
        <w:t>可以在课表处，找到上课日期对应的课程，点击进入查看回放</w:t>
      </w:r>
    </w:p>
    <w:p w14:paraId="761230D2"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</w:t>
      </w:r>
      <w:r>
        <w:rPr>
          <w:rFonts w:hint="eastAsia"/>
        </w:rPr>
        <w:t>可以在课程章节后面，点击相应的日期章节，进入查看回放</w:t>
      </w:r>
    </w:p>
    <w:p w14:paraId="07A365CA">
      <w:pPr>
        <w:jc w:val="both"/>
        <w:rPr>
          <w:rFonts w:hint="eastAsia"/>
          <w:lang w:eastAsia="zh-CN"/>
        </w:rPr>
      </w:pPr>
    </w:p>
    <w:p w14:paraId="42CB0EF4">
      <w:pPr>
        <w:jc w:val="both"/>
      </w:pPr>
      <w:r>
        <w:drawing>
          <wp:inline distT="0" distB="0" distL="0" distR="0">
            <wp:extent cx="5274310" cy="2731135"/>
            <wp:effectExtent l="0" t="0" r="8890" b="12065"/>
            <wp:docPr id="1608889710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89710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EA77">
      <w:pPr>
        <w:jc w:val="both"/>
      </w:pPr>
    </w:p>
    <w:p w14:paraId="2182A45E">
      <w:pPr>
        <w:jc w:val="both"/>
      </w:pPr>
    </w:p>
    <w:p w14:paraId="7580A70A">
      <w:pPr>
        <w:pStyle w:val="3"/>
        <w:numPr>
          <w:ilvl w:val="0"/>
          <w:numId w:val="2"/>
        </w:numPr>
        <w:rPr>
          <w:rFonts w:hint="eastAsia"/>
          <w:lang w:eastAsia="zh-CN"/>
        </w:rPr>
      </w:pPr>
      <w:bookmarkStart w:id="14" w:name="_Toc1393929547"/>
      <w:r>
        <w:rPr>
          <w:rFonts w:hint="eastAsia"/>
          <w:lang w:val="en-US" w:eastAsia="zh-CN"/>
        </w:rPr>
        <w:t>下载学习通客户端</w:t>
      </w:r>
      <w:bookmarkEnd w:id="14"/>
    </w:p>
    <w:p w14:paraId="441C3098">
      <w:pPr>
        <w:rPr>
          <w:rFonts w:hint="eastAsia"/>
          <w:lang w:val="en-US" w:eastAsia="zh-CN"/>
        </w:rPr>
      </w:pPr>
    </w:p>
    <w:p w14:paraId="4226E813">
      <w:pPr>
        <w:bidi w:val="0"/>
        <w:rPr>
          <w:rFonts w:hint="eastAsia"/>
          <w:lang w:val="en-US" w:eastAsia="zh-CN"/>
        </w:rPr>
      </w:pPr>
      <w:r>
        <w:t>下载学习通客户端</w:t>
      </w:r>
      <w:r>
        <w:rPr>
          <w:rFonts w:hint="eastAsia"/>
          <w:lang w:val="en-US" w:eastAsia="zh-CN"/>
        </w:rPr>
        <w:t>进入</w:t>
      </w:r>
      <w:r>
        <w:t>【泛雅课堂】</w:t>
      </w:r>
      <w:r>
        <w:rPr>
          <w:rFonts w:hint="eastAsia"/>
          <w:lang w:val="en-US" w:eastAsia="zh-CN"/>
        </w:rPr>
        <w:t xml:space="preserve"> </w:t>
      </w:r>
    </w:p>
    <w:p w14:paraId="06EAE051">
      <w:pPr>
        <w:bidi w:val="0"/>
      </w:pPr>
      <w:r>
        <w:rPr>
          <w:rFonts w:hint="eastAsia"/>
          <w:lang w:val="en-US" w:eastAsia="zh-CN"/>
        </w:rPr>
        <w:t>下载地址：</w:t>
      </w:r>
      <w:r>
        <w:t xml:space="preserve"> </w:t>
      </w:r>
      <w:r>
        <w:fldChar w:fldCharType="begin"/>
      </w:r>
      <w:r>
        <w:instrText xml:space="preserve"> HYPERLINK "https://app.xuexitong.com" \t "/Users/chaoxing/Documents\\x/_blank" </w:instrText>
      </w:r>
      <w:r>
        <w:fldChar w:fldCharType="separate"/>
      </w:r>
      <w:r>
        <w:rPr>
          <w:rStyle w:val="14"/>
        </w:rPr>
        <w:t>https://app.xuexitong.com</w:t>
      </w:r>
      <w:r>
        <w:fldChar w:fldCharType="end"/>
      </w:r>
    </w:p>
    <w:p w14:paraId="0F5DB985">
      <w:pPr>
        <w:pStyle w:val="10"/>
        <w:keepNext w:val="0"/>
        <w:keepLines w:val="0"/>
        <w:widowControl/>
        <w:suppressLineNumbers w:val="0"/>
        <w:spacing w:beforeAutospacing="1" w:afterAutospacing="1"/>
      </w:pPr>
      <w:r>
        <w:drawing>
          <wp:inline distT="0" distB="0" distL="114300" distR="114300">
            <wp:extent cx="5269230" cy="2550160"/>
            <wp:effectExtent l="0" t="0" r="13970" b="15240"/>
            <wp:docPr id="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89C33">
      <w:pPr>
        <w:pStyle w:val="10"/>
        <w:keepNext w:val="0"/>
        <w:keepLines w:val="0"/>
        <w:widowControl/>
        <w:suppressLineNumbers w:val="0"/>
        <w:spacing w:beforeAutospacing="1" w:afterAutospacing="1"/>
      </w:pPr>
      <w:r>
        <w:t>打开并登录客户端</w:t>
      </w:r>
      <w:r>
        <w:rPr>
          <w:rFonts w:hint="eastAsia"/>
          <w:lang w:eastAsia="zh-CN"/>
        </w:rPr>
        <w:t>，</w:t>
      </w:r>
      <w:r>
        <w:t>点击</w:t>
      </w:r>
      <w:r>
        <w:rPr>
          <w:color w:val="F33131"/>
        </w:rPr>
        <w:t>【其他方式登录】</w:t>
      </w:r>
    </w:p>
    <w:p w14:paraId="6EB2777F"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72405" cy="3117850"/>
            <wp:effectExtent l="0" t="0" r="10795" b="6350"/>
            <wp:docPr id="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F7D54">
      <w:pPr>
        <w:pStyle w:val="10"/>
        <w:keepNext w:val="0"/>
        <w:keepLines w:val="0"/>
        <w:widowControl/>
        <w:suppressLineNumbers w:val="0"/>
        <w:spacing w:beforeAutospacing="1" w:afterAutospacing="1"/>
      </w:pPr>
      <w:r>
        <w:t>输入单位名称：“华南农业大学继续教育综合管理平台”或单位代码“327743”，选择单位。</w:t>
      </w:r>
    </w:p>
    <w:p w14:paraId="6236D272">
      <w:pPr>
        <w:pStyle w:val="10"/>
        <w:keepNext w:val="0"/>
        <w:keepLines w:val="0"/>
        <w:widowControl/>
        <w:suppressLineNumbers w:val="0"/>
        <w:spacing w:beforeAutospacing="1" w:afterAutospacing="1"/>
      </w:pPr>
      <w:r>
        <w:t>输入账号 密码登录</w:t>
      </w:r>
    </w:p>
    <w:p w14:paraId="49679CA1">
      <w:pPr>
        <w:pStyle w:val="10"/>
        <w:keepNext w:val="0"/>
        <w:keepLines w:val="0"/>
        <w:widowControl/>
        <w:suppressLineNumbers w:val="0"/>
        <w:spacing w:beforeAutospacing="1" w:afterAutospacing="1"/>
      </w:pPr>
      <w:r>
        <w:drawing>
          <wp:inline distT="0" distB="0" distL="114300" distR="114300">
            <wp:extent cx="5269230" cy="3229610"/>
            <wp:effectExtent l="0" t="0" r="13970" b="21590"/>
            <wp:docPr id="7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46EA8">
      <w:pPr>
        <w:pStyle w:val="10"/>
        <w:keepNext w:val="0"/>
        <w:keepLines w:val="0"/>
        <w:widowControl/>
        <w:suppressLineNumbers w:val="0"/>
        <w:spacing w:beforeAutospacing="1" w:afterAutospacing="1"/>
      </w:pPr>
      <w:r>
        <w:t>登录后，点击顶部中间的【首页】选择【华南农业大学继续教育综合管理平台】</w:t>
      </w:r>
    </w:p>
    <w:p w14:paraId="1D749A33">
      <w:pPr>
        <w:pStyle w:val="10"/>
        <w:keepNext w:val="0"/>
        <w:keepLines w:val="0"/>
        <w:widowControl/>
        <w:suppressLineNumbers w:val="0"/>
        <w:spacing w:beforeAutospacing="1" w:afterAutospacing="1"/>
      </w:pPr>
      <w:r>
        <w:drawing>
          <wp:inline distT="0" distB="0" distL="114300" distR="114300">
            <wp:extent cx="5272405" cy="3018155"/>
            <wp:effectExtent l="0" t="0" r="10795" b="4445"/>
            <wp:docPr id="7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84C5F">
      <w:pPr>
        <w:pStyle w:val="10"/>
        <w:keepNext w:val="0"/>
        <w:keepLines w:val="0"/>
        <w:widowControl/>
        <w:suppressLineNumbers w:val="0"/>
        <w:spacing w:beforeAutospacing="1" w:afterAutospacing="1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查看【学生端】的【直播课表】，选择相对应的日期的课程进入课堂上课。</w:t>
      </w:r>
    </w:p>
    <w:p w14:paraId="63AC17A5">
      <w:pPr>
        <w:pStyle w:val="10"/>
        <w:keepNext w:val="0"/>
        <w:keepLines w:val="0"/>
        <w:widowControl/>
        <w:suppressLineNumbers w:val="0"/>
        <w:spacing w:beforeAutospacing="1" w:afterAutospacing="1"/>
      </w:pPr>
    </w:p>
    <w:p w14:paraId="1DB89022">
      <w:pPr>
        <w:pStyle w:val="2"/>
        <w:rPr>
          <w:rFonts w:hint="eastAsia" w:ascii="宋体" w:hAnsi="宋体" w:eastAsia="宋体" w:cs="宋体"/>
          <w:sz w:val="24"/>
          <w:szCs w:val="24"/>
        </w:rPr>
      </w:pPr>
      <w:bookmarkStart w:id="15" w:name="_Toc874791306"/>
      <w:r>
        <w:rPr>
          <w:rFonts w:hint="eastAsia" w:ascii="宋体" w:hAnsi="宋体" w:eastAsia="宋体" w:cs="宋体"/>
          <w:sz w:val="24"/>
          <w:szCs w:val="24"/>
        </w:rPr>
        <w:t>二、移动端</w:t>
      </w:r>
      <w:bookmarkEnd w:id="15"/>
    </w:p>
    <w:p w14:paraId="6BA96790">
      <w:pPr>
        <w:pStyle w:val="3"/>
        <w:rPr>
          <w:rFonts w:hint="eastAsia" w:ascii="宋体" w:hAnsi="宋体" w:eastAsia="宋体" w:cs="宋体"/>
          <w:sz w:val="24"/>
          <w:szCs w:val="24"/>
        </w:rPr>
      </w:pPr>
      <w:bookmarkStart w:id="16" w:name="_Toc17383381"/>
      <w:bookmarkStart w:id="17" w:name="_Toc944432580"/>
      <w:r>
        <w:rPr>
          <w:rFonts w:hint="eastAsia" w:ascii="宋体" w:hAnsi="宋体" w:eastAsia="宋体" w:cs="宋体"/>
          <w:sz w:val="24"/>
          <w:szCs w:val="24"/>
        </w:rPr>
        <w:t>1.学习通APP下载</w:t>
      </w:r>
      <w:bookmarkEnd w:id="16"/>
      <w:bookmarkEnd w:id="17"/>
    </w:p>
    <w:p w14:paraId="74E13A12">
      <w:pPr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扫描下方二维码或在手机应用市场搜索“学习通”，下载“学习通”。</w:t>
      </w:r>
    </w:p>
    <w:p w14:paraId="2123CBE7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1977390" cy="1583690"/>
            <wp:effectExtent l="20320" t="9525" r="20955" b="501015"/>
            <wp:docPr id="18" name="图片 18" descr="C:\Users\11481\AppData\Local\Temp\WeChat Files\fb7ffea2140c636abce26941e75d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11481\AppData\Local\Temp\WeChat Files\fb7ffea2140c636abce26941e75d5a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1" t="26508" r="5287" b="37670"/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15836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0150223C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720A069E">
      <w:pPr>
        <w:pStyle w:val="3"/>
        <w:numPr>
          <w:ilvl w:val="0"/>
          <w:numId w:val="3"/>
        </w:numPr>
        <w:rPr>
          <w:rFonts w:hint="eastAsia" w:ascii="宋体" w:hAnsi="宋体" w:eastAsia="宋体" w:cs="宋体"/>
          <w:sz w:val="24"/>
          <w:szCs w:val="24"/>
        </w:rPr>
      </w:pPr>
      <w:bookmarkStart w:id="18" w:name="_Toc17383382"/>
      <w:bookmarkStart w:id="19" w:name="_Toc1026737083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学习通</w:t>
      </w:r>
      <w:r>
        <w:rPr>
          <w:rFonts w:hint="eastAsia" w:ascii="宋体" w:hAnsi="宋体" w:eastAsia="宋体" w:cs="宋体"/>
          <w:sz w:val="24"/>
          <w:szCs w:val="24"/>
        </w:rPr>
        <w:t>登录</w:t>
      </w:r>
      <w:bookmarkEnd w:id="18"/>
      <w:bookmarkEnd w:id="19"/>
    </w:p>
    <w:p w14:paraId="3FFDAEE1"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bookmarkStart w:id="20" w:name="_Toc1339050336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2.1 学生未注册过学习通账号</w:t>
      </w:r>
      <w:bookmarkEnd w:id="20"/>
      <w:r>
        <w:rPr>
          <w:rFonts w:hint="eastAsia" w:ascii="宋体" w:hAnsi="宋体" w:eastAsia="宋体" w:cs="宋体"/>
          <w:sz w:val="24"/>
          <w:szCs w:val="24"/>
        </w:rPr>
        <w:t xml:space="preserve">        </w:t>
      </w:r>
    </w:p>
    <w:p w14:paraId="3855F648">
      <w:pPr>
        <w:pStyle w:val="23"/>
        <w:numPr>
          <w:ilvl w:val="0"/>
          <w:numId w:val="0"/>
        </w:numPr>
        <w:bidi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登录页面选择【新用户注册】</w:t>
      </w:r>
    </w:p>
    <w:p w14:paraId="0E572996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644140" cy="3096260"/>
            <wp:effectExtent l="0" t="0" r="635" b="190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B3783">
      <w:pPr>
        <w:pStyle w:val="23"/>
        <w:widowControl w:val="0"/>
        <w:numPr>
          <w:ilvl w:val="0"/>
          <w:numId w:val="0"/>
        </w:numPr>
        <w:bidi w:val="0"/>
        <w:spacing w:line="360" w:lineRule="auto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258A6518">
      <w:pPr>
        <w:pStyle w:val="23"/>
        <w:widowControl w:val="0"/>
        <w:numPr>
          <w:ilvl w:val="0"/>
          <w:numId w:val="0"/>
        </w:numPr>
        <w:bidi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（2）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验证手机号设置完密码后进入下一步</w:t>
      </w:r>
    </w:p>
    <w:p w14:paraId="1100C8FB">
      <w:pPr>
        <w:pStyle w:val="23"/>
        <w:widowControl w:val="0"/>
        <w:numPr>
          <w:ilvl w:val="0"/>
          <w:numId w:val="0"/>
        </w:numPr>
        <w:bidi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061845" cy="3888105"/>
            <wp:effectExtent l="0" t="0" r="0" b="8890"/>
            <wp:docPr id="2" name="图片 2" descr="f3f9163f2662278619f10e77ab298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3f9163f2662278619f10e77ab298e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6DB59">
      <w:pPr>
        <w:pStyle w:val="23"/>
        <w:widowControl w:val="0"/>
        <w:numPr>
          <w:ilvl w:val="0"/>
          <w:numId w:val="0"/>
        </w:numPr>
        <w:bidi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（3）输入单位名称【华南农业大学继续教育综合管理平台】（或fid：327743）</w:t>
      </w:r>
    </w:p>
    <w:p w14:paraId="7B1DC918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230120" cy="1548130"/>
            <wp:effectExtent l="0" t="0" r="4445" b="635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CA9E6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（4）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输入单位名称【华南农业大学继续教育综合管理平台】、学号、姓名，完成绑定</w:t>
      </w:r>
    </w:p>
    <w:p w14:paraId="4B4C11C4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000250" cy="2232025"/>
            <wp:effectExtent l="0" t="0" r="7620" b="2540"/>
            <wp:docPr id="3" name="图片 3" descr="1724326627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2432662770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8FC19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989455" cy="3312160"/>
            <wp:effectExtent l="0" t="0" r="7620" b="190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BCA5F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2.2学生已注册过学习通账号</w:t>
      </w:r>
    </w:p>
    <w:p w14:paraId="36E1C75F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（1）登录学习通后，点击右下角“我”，然后点击自己的头像</w:t>
      </w:r>
    </w:p>
    <w:p w14:paraId="7A958ACC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065655" cy="4356100"/>
            <wp:effectExtent l="0" t="0" r="6985" b="5080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54FBF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8F5A8F8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E27031D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点击“绑定单位”，进入绑定页面</w:t>
      </w:r>
    </w:p>
    <w:p w14:paraId="56341D3B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372360" cy="2484120"/>
            <wp:effectExtent l="0" t="0" r="2540" b="9525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E2C05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（3）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点击下方“添加单位”</w:t>
      </w:r>
    </w:p>
    <w:p w14:paraId="1734B972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177415" cy="4572000"/>
            <wp:effectExtent l="0" t="0" r="3175" b="508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7741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03EF8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28C1AE85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142C7800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14600D9C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22BF60CA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4A5C6FC9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（4）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输入单位名称【华南农业大学继续教育综合管理平台】（或fid：327743）</w:t>
      </w:r>
    </w:p>
    <w:p w14:paraId="0F09319F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970405" cy="1367790"/>
            <wp:effectExtent l="0" t="0" r="5080" b="317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0F6E">
      <w:pPr>
        <w:pStyle w:val="23"/>
        <w:widowControl w:val="0"/>
        <w:numPr>
          <w:ilvl w:val="0"/>
          <w:numId w:val="0"/>
        </w:numPr>
        <w:bidi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输入【学生学号】后完成绑定</w:t>
      </w:r>
    </w:p>
    <w:p w14:paraId="68E192C0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846580" cy="1583690"/>
            <wp:effectExtent l="0" t="0" r="1016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58F8">
      <w:pPr>
        <w:pStyle w:val="3"/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bookmarkStart w:id="21" w:name="_Toc17383383"/>
      <w:bookmarkStart w:id="22" w:name="_Toc1937860239"/>
      <w:r>
        <w:rPr>
          <w:rFonts w:hint="eastAsia" w:ascii="宋体" w:hAnsi="宋体" w:eastAsia="宋体" w:cs="宋体"/>
          <w:sz w:val="24"/>
          <w:szCs w:val="24"/>
        </w:rPr>
        <w:t>课程学习</w:t>
      </w:r>
      <w:bookmarkEnd w:id="21"/>
      <w:bookmarkEnd w:id="22"/>
    </w:p>
    <w:p w14:paraId="0A555F29">
      <w:pPr>
        <w:numPr>
          <w:ilvl w:val="0"/>
          <w:numId w:val="4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登录成功之后，点击上方“首页”，切换至“华南农业大学继续教育综合管理平台”</w:t>
      </w:r>
    </w:p>
    <w:p w14:paraId="1DFCAA0A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788795" cy="3896360"/>
            <wp:effectExtent l="0" t="0" r="14605" b="1524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97825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（2）在跳转的页面中，点击“我的课程”</w:t>
      </w:r>
    </w:p>
    <w:p w14:paraId="5B3F3F4D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drawing>
          <wp:inline distT="0" distB="0" distL="114300" distR="114300">
            <wp:extent cx="1711325" cy="3742690"/>
            <wp:effectExtent l="0" t="0" r="15875" b="1651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</w:t>
      </w:r>
    </w:p>
    <w:p w14:paraId="5B9D1575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（3）进入课程列表页面，会显示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对应的学期需要学习的课程</w:t>
      </w:r>
    </w:p>
    <w:p w14:paraId="6D14CCDB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1861820" cy="4032250"/>
            <wp:effectExtent l="0" t="0" r="5715" b="5080"/>
            <wp:docPr id="16" name="图片 16" descr="b2918449c654b399570ff6f02a4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2918449c654b399570ff6f02a4219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670A6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（4）点击需要学习的课程，就会进入到课程章节页面</w:t>
      </w:r>
    </w:p>
    <w:p w14:paraId="066E1571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1894205" cy="4104005"/>
            <wp:effectExtent l="0" t="0" r="5715" b="8890"/>
            <wp:docPr id="19" name="图片 19" descr="0bfe648350e36905065c5c66fbb0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bfe648350e36905065c5c66fbb090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AA9AA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（5）点击对应的章节任务点就能够开始学习</w:t>
      </w:r>
    </w:p>
    <w:p w14:paraId="4C449265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1927225" cy="4175760"/>
            <wp:effectExtent l="0" t="0" r="5080" b="1905"/>
            <wp:docPr id="20" name="图片 20" descr="0460dfb79b0ae4e1b4e454c26b0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460dfb79b0ae4e1b4e454c26b0395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927225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66E6">
      <w:pPr>
        <w:pStyle w:val="3"/>
        <w:numPr>
          <w:numId w:val="0"/>
        </w:numPr>
        <w:ind w:left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bookmarkStart w:id="23" w:name="_Toc880046471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4.考试</w:t>
      </w:r>
      <w:bookmarkEnd w:id="23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 </w:t>
      </w:r>
    </w:p>
    <w:p w14:paraId="1D0C8E72">
      <w:pPr>
        <w:numPr>
          <w:ilvl w:val="0"/>
          <w:numId w:val="5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点击上方“首页”，切换至“华南农业大学继续教育综合管理平台”</w:t>
      </w:r>
    </w:p>
    <w:p w14:paraId="600FA000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1758950" cy="3187065"/>
            <wp:effectExtent l="0" t="0" r="19050" b="13335"/>
            <wp:docPr id="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451E">
      <w:pPr>
        <w:numPr>
          <w:ilvl w:val="0"/>
          <w:numId w:val="5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跳转的页面中，点击“我的考试”</w:t>
      </w:r>
    </w:p>
    <w:p w14:paraId="2A5599B1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2005330" cy="4431665"/>
            <wp:effectExtent l="0" t="0" r="1270" b="13335"/>
            <wp:docPr id="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CD6AE">
      <w:pPr>
        <w:widowControl w:val="0"/>
        <w:numPr>
          <w:ilvl w:val="0"/>
          <w:numId w:val="6"/>
        </w:numPr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选择要考试的试卷，点击试卷，跳转至考试详情的页面，在此页面阅读同意考试说明后，直接点击开始考试即可进入考试。</w:t>
      </w:r>
    </w:p>
    <w:p w14:paraId="27307B87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2442845" cy="5292090"/>
            <wp:effectExtent l="0" t="0" r="7620" b="8255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529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2459355" cy="5328285"/>
            <wp:effectExtent l="0" t="0" r="1905" b="444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532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80A0C">
      <w:pPr>
        <w:pStyle w:val="10"/>
        <w:widowControl/>
        <w:spacing w:before="100" w:beforeAutospacing="1" w:after="100" w:afterAutospacing="1"/>
        <w:ind w:firstLine="480"/>
        <w:rPr>
          <w:rFonts w:hint="eastAsia"/>
          <w:lang w:eastAsia="zh-CN"/>
        </w:rPr>
      </w:pPr>
    </w:p>
    <w:p w14:paraId="2819E3E9">
      <w:pPr>
        <w:pStyle w:val="10"/>
        <w:widowControl/>
        <w:spacing w:before="100" w:beforeAutospacing="1" w:after="100" w:afterAutospacing="1"/>
        <w:ind w:firstLine="480"/>
        <w:rPr>
          <w:rFonts w:hint="eastAsia"/>
          <w:lang w:eastAsia="zh-CN"/>
        </w:rPr>
      </w:pPr>
    </w:p>
    <w:p w14:paraId="3681DF44">
      <w:pPr>
        <w:pStyle w:val="10"/>
        <w:widowControl/>
        <w:spacing w:before="100" w:beforeAutospacing="1" w:after="100" w:afterAutospacing="1"/>
        <w:ind w:firstLine="480"/>
        <w:rPr>
          <w:rFonts w:hint="eastAsia"/>
          <w:lang w:eastAsia="zh-CN"/>
        </w:rPr>
      </w:pPr>
    </w:p>
    <w:p w14:paraId="7D3DD0F9">
      <w:pPr>
        <w:pStyle w:val="10"/>
        <w:widowControl/>
        <w:spacing w:before="100" w:beforeAutospacing="1" w:after="100" w:afterAutospacing="1"/>
        <w:ind w:firstLine="480"/>
        <w:rPr>
          <w:rFonts w:hint="eastAsia"/>
          <w:lang w:eastAsia="zh-CN"/>
        </w:rPr>
      </w:pPr>
    </w:p>
    <w:p w14:paraId="186794B5">
      <w:pPr>
        <w:pStyle w:val="10"/>
        <w:widowControl/>
        <w:spacing w:before="100" w:beforeAutospacing="1" w:after="100" w:afterAutospacing="1"/>
        <w:ind w:firstLine="480"/>
        <w:jc w:val="left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/>
          <w:color w:val="auto"/>
          <w:lang w:val="en-US" w:eastAsia="zh-CN"/>
        </w:rPr>
        <w:t>进入考试页面后，即可开始作答，点击下一步能够跳转至下一题目进行作答，所有题目都作答完成，并确认后，点击交卷，就可以完成考试。</w:t>
      </w:r>
      <w:r>
        <w:drawing>
          <wp:inline distT="0" distB="0" distL="114300" distR="114300">
            <wp:extent cx="1980565" cy="4283710"/>
            <wp:effectExtent l="0" t="0" r="5715" b="1905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</w:t>
      </w:r>
      <w:r>
        <w:drawing>
          <wp:inline distT="0" distB="0" distL="114300" distR="114300">
            <wp:extent cx="2013585" cy="4356100"/>
            <wp:effectExtent l="0" t="0" r="5080" b="5080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100D7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</w:p>
    <w:p w14:paraId="71A29E1D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</w:p>
    <w:p w14:paraId="0A4FBE3C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</w:p>
    <w:p w14:paraId="78C248EB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</w:p>
    <w:p w14:paraId="11B01918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</w:p>
    <w:p w14:paraId="03CC0056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</w:p>
    <w:p w14:paraId="53FEE6A6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</w:p>
    <w:p w14:paraId="209D288C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（5）交卷后，会提示学生交卷成功，学生可以回到考试列表查看考试状态，如果有需要批阅的题目，状态会显示为待批阅，没有的话就会是已完成的状态。</w:t>
      </w:r>
    </w:p>
    <w:p w14:paraId="688D6C59">
      <w:pPr>
        <w:pStyle w:val="10"/>
        <w:widowControl/>
        <w:numPr>
          <w:ilvl w:val="0"/>
          <w:numId w:val="0"/>
        </w:numPr>
        <w:spacing w:before="100" w:beforeAutospacing="1" w:after="100" w:afterAutospacing="1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2442845" cy="5292090"/>
            <wp:effectExtent l="0" t="0" r="7620" b="8255"/>
            <wp:docPr id="28" name="图片 28" descr="f782d621d72b4980e37915d5831c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f782d621d72b4980e37915d5831c84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52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drawing>
          <wp:inline distT="0" distB="0" distL="114300" distR="114300">
            <wp:extent cx="2444115" cy="5295900"/>
            <wp:effectExtent l="0" t="0" r="6350" b="4445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2A738">
      <w:pPr>
        <w:pStyle w:val="3"/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bookmarkStart w:id="24" w:name="_Toc1221161208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5.直播</w:t>
      </w:r>
      <w:bookmarkEnd w:id="24"/>
    </w:p>
    <w:p w14:paraId="02BF676E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5.1</w:t>
      </w:r>
      <w:r>
        <w:rPr>
          <w:rFonts w:hint="eastAsia"/>
        </w:rPr>
        <w:t>点击课表-按照日期时间点击上课课程-点击上课地点-进入课堂学习</w:t>
      </w:r>
    </w:p>
    <w:p w14:paraId="24C44EC8">
      <w:pPr>
        <w:bidi w:val="0"/>
        <w:rPr>
          <w:rFonts w:hint="eastAsia"/>
        </w:rPr>
      </w:pPr>
      <w:r>
        <w:drawing>
          <wp:inline distT="0" distB="0" distL="114300" distR="114300">
            <wp:extent cx="2153920" cy="3448050"/>
            <wp:effectExtent l="0" t="0" r="5080" b="6350"/>
            <wp:docPr id="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4540" cy="3354705"/>
            <wp:effectExtent l="0" t="0" r="22860" b="23495"/>
            <wp:docPr id="1972664661" name="图片 1972664661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64661" name="图片 1972664661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6F401"/>
    <w:p w14:paraId="25E73207">
      <w:pPr>
        <w:rPr>
          <w:rFonts w:hint="eastAsia"/>
          <w:lang w:val="en-US" w:eastAsia="zh-CN"/>
        </w:rPr>
      </w:pPr>
      <w:r>
        <w:drawing>
          <wp:inline distT="0" distB="0" distL="0" distR="0">
            <wp:extent cx="2349500" cy="4580890"/>
            <wp:effectExtent l="0" t="0" r="0" b="0"/>
            <wp:docPr id="292824037" name="图片 29282403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24037" name="图片 29282403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0"/>
                    <a:srcRect l="11961" r="30639" b="634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0" cy="4464050"/>
            <wp:effectExtent l="0" t="0" r="12700" b="6350"/>
            <wp:docPr id="698891450" name="图片 698891450" descr="电脑游戏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891450" name="图片 698891450" descr="电脑游戏的截图&#10;&#10;描述已自动生成"/>
                    <pic:cNvPicPr>
                      <a:picLocks noChangeAspect="1"/>
                    </pic:cNvPicPr>
                  </pic:nvPicPr>
                  <pic:blipFill>
                    <a:blip r:embed="rId61"/>
                    <a:srcRect r="13966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0A5A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5DB07A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方法2：学习通的首页，右上角，输入邀请码（课堂码）进入课堂学习。</w:t>
      </w:r>
    </w:p>
    <w:p w14:paraId="103E86E0"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141855" cy="4147820"/>
            <wp:effectExtent l="0" t="0" r="17145" b="17780"/>
            <wp:docPr id="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41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65C132"/>
    <w:multiLevelType w:val="singleLevel"/>
    <w:tmpl w:val="9265C13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D18A1D90"/>
    <w:multiLevelType w:val="singleLevel"/>
    <w:tmpl w:val="D18A1D9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0B166F2D"/>
    <w:multiLevelType w:val="multilevel"/>
    <w:tmpl w:val="0B166F2D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 w:tentative="0">
      <w:start w:val="1"/>
      <w:numFmt w:val="decimal"/>
      <w:suff w:val="space"/>
      <w:lvlText w:val="%1.%2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3" w:tentative="0">
      <w:start w:val="1"/>
      <w:numFmt w:val="decimal"/>
      <w:suff w:val="space"/>
      <w:lvlText w:val="%1.%2.%3.%4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suff w:val="space"/>
      <w:lvlText w:val="%1.%2.%3.%4.%5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5" w:tentative="0">
      <w:start w:val="1"/>
      <w:numFmt w:val="decimal"/>
      <w:lvlText w:val="%1.%2.%3.%4.%5.%6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-3990"/>
        </w:tabs>
        <w:ind w:left="425" w:hanging="425"/>
      </w:pPr>
      <w:rPr>
        <w:rFonts w:hint="eastAsia"/>
      </w:rPr>
    </w:lvl>
  </w:abstractNum>
  <w:abstractNum w:abstractNumId="3">
    <w:nsid w:val="585211FF"/>
    <w:multiLevelType w:val="multilevel"/>
    <w:tmpl w:val="585211F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4">
    <w:nsid w:val="6565DD96"/>
    <w:multiLevelType w:val="singleLevel"/>
    <w:tmpl w:val="6565DD96"/>
    <w:lvl w:ilvl="0" w:tentative="0">
      <w:start w:val="3"/>
      <w:numFmt w:val="decimal"/>
      <w:suff w:val="nothing"/>
      <w:lvlText w:val="（%1）"/>
      <w:lvlJc w:val="left"/>
    </w:lvl>
  </w:abstractNum>
  <w:abstractNum w:abstractNumId="5">
    <w:nsid w:val="7BB60FF0"/>
    <w:multiLevelType w:val="singleLevel"/>
    <w:tmpl w:val="7BB60FF0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hY2VjN2RiZTY1YjE1MDJmZDAxMmUyZWZkMTExN2QifQ=="/>
  </w:docVars>
  <w:rsids>
    <w:rsidRoot w:val="00522281"/>
    <w:rsid w:val="001373CF"/>
    <w:rsid w:val="00191841"/>
    <w:rsid w:val="001C02CE"/>
    <w:rsid w:val="00264374"/>
    <w:rsid w:val="003434D7"/>
    <w:rsid w:val="004965EC"/>
    <w:rsid w:val="00522281"/>
    <w:rsid w:val="005C642A"/>
    <w:rsid w:val="00713BA8"/>
    <w:rsid w:val="0073351A"/>
    <w:rsid w:val="007C5AAD"/>
    <w:rsid w:val="00812FB6"/>
    <w:rsid w:val="0083315B"/>
    <w:rsid w:val="00837E79"/>
    <w:rsid w:val="008E1236"/>
    <w:rsid w:val="00AB5E25"/>
    <w:rsid w:val="00AF1FAE"/>
    <w:rsid w:val="00BD4D9C"/>
    <w:rsid w:val="00D377FB"/>
    <w:rsid w:val="00DA3267"/>
    <w:rsid w:val="00E145B6"/>
    <w:rsid w:val="00E400C3"/>
    <w:rsid w:val="00FF394D"/>
    <w:rsid w:val="012B27BA"/>
    <w:rsid w:val="04691A50"/>
    <w:rsid w:val="04BE5FB8"/>
    <w:rsid w:val="0D167465"/>
    <w:rsid w:val="10791B78"/>
    <w:rsid w:val="11A779A2"/>
    <w:rsid w:val="1A836902"/>
    <w:rsid w:val="1F5708DD"/>
    <w:rsid w:val="21C97D3E"/>
    <w:rsid w:val="22B858C6"/>
    <w:rsid w:val="34D43FC4"/>
    <w:rsid w:val="3EDBDD46"/>
    <w:rsid w:val="457C317C"/>
    <w:rsid w:val="46FF2F12"/>
    <w:rsid w:val="49BA0582"/>
    <w:rsid w:val="49C77F28"/>
    <w:rsid w:val="54BD792E"/>
    <w:rsid w:val="5597BEDA"/>
    <w:rsid w:val="7BEFB2D3"/>
    <w:rsid w:val="7BFF250B"/>
    <w:rsid w:val="7DFA9422"/>
    <w:rsid w:val="7F383608"/>
    <w:rsid w:val="7F4E4B82"/>
    <w:rsid w:val="A9B7AB8C"/>
    <w:rsid w:val="BEDB7D23"/>
    <w:rsid w:val="E7FE9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numPr>
        <w:ilvl w:val="2"/>
        <w:numId w:val="1"/>
      </w:numPr>
      <w:spacing w:before="156" w:beforeLines="50" w:after="156" w:afterLines="50"/>
      <w:outlineLvl w:val="2"/>
    </w:pPr>
    <w:rPr>
      <w:rFonts w:ascii="Calibri" w:hAnsi="Calibri" w:eastAsia="宋体" w:cs="Times New Roman"/>
      <w:b/>
      <w:bCs/>
      <w:sz w:val="24"/>
      <w:szCs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Normal (Web)"/>
    <w:basedOn w:val="1"/>
    <w:qFormat/>
    <w:uiPriority w:val="99"/>
    <w:pPr>
      <w:spacing w:line="360" w:lineRule="auto"/>
    </w:pPr>
    <w:rPr>
      <w:rFonts w:ascii="Times New Roman" w:hAnsi="Times New Roman" w:eastAsia="宋体" w:cs="Times New Roman"/>
      <w:sz w:val="24"/>
      <w:szCs w:val="24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7">
    <w:name w:val="Unresolved Mention"/>
    <w:basedOn w:val="12"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9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0">
    <w:name w:val="标题 3 字符"/>
    <w:basedOn w:val="12"/>
    <w:link w:val="4"/>
    <w:qFormat/>
    <w:uiPriority w:val="0"/>
    <w:rPr>
      <w:rFonts w:ascii="Calibri" w:hAnsi="Calibri" w:eastAsia="宋体" w:cs="Times New Roman"/>
      <w:b/>
      <w:bCs/>
      <w:sz w:val="24"/>
      <w:szCs w:val="32"/>
    </w:rPr>
  </w:style>
  <w:style w:type="paragraph" w:customStyle="1" w:styleId="21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2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3">
    <w:name w:val="正文样式"/>
    <w:basedOn w:val="1"/>
    <w:qFormat/>
    <w:uiPriority w:val="7"/>
    <w:pPr>
      <w:ind w:firstLine="480" w:firstLineChars="200"/>
    </w:pPr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4" Type="http://schemas.openxmlformats.org/officeDocument/2006/relationships/fontTable" Target="fontTable.xml"/><Relationship Id="rId63" Type="http://schemas.openxmlformats.org/officeDocument/2006/relationships/numbering" Target="numbering.xml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jpe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jpe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1481</Words>
  <Characters>1562</Characters>
  <Lines>13</Lines>
  <Paragraphs>3</Paragraphs>
  <TotalTime>1</TotalTime>
  <ScaleCrop>false</ScaleCrop>
  <LinksUpToDate>false</LinksUpToDate>
  <CharactersWithSpaces>1711</CharactersWithSpaces>
  <Application>WPS Office_6.8.0.8846_F1E327BC-269C-435d-A152-05C5408002CA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2019-11-14T10:12:00Z</dcterms:created>
  <dc:creator>cheng ll</dc:creator>
  <cp:lastModifiedBy>昔日的柠檬酸</cp:lastModifiedBy>
  <dcterms:modified xsi:type="dcterms:W3CDTF">2025-01-15T13:25:24Z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2052-6.8.0.8846</vt:lpwstr>
  </property>
  <property fmtid="{D5CDD505-2E9C-101B-9397-08002B2CF9AE}" pid="3" name="ICV">
    <vt:lpwstr>30A27C85E5F14FF9B797848A7B6625DC_13</vt:lpwstr>
  </property>
</Properties>
</file>